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7287C" w14:textId="16DF920E" w:rsidR="00C860F2" w:rsidRPr="003E47DF" w:rsidRDefault="000C5895" w:rsidP="003E47DF">
      <w:pPr>
        <w:jc w:val="center"/>
        <w:rPr>
          <w:rFonts w:ascii="Myriad Pro" w:hAnsi="Myriad Pro" w:cs="Arial"/>
          <w:sz w:val="18"/>
          <w:szCs w:val="18"/>
        </w:rPr>
      </w:pPr>
      <w:bookmarkStart w:id="0" w:name="_GoBack"/>
      <w:bookmarkEnd w:id="0"/>
      <w:r w:rsidRPr="003E47DF">
        <w:rPr>
          <w:rFonts w:ascii="Myriad Pro" w:hAnsi="Myriad Pro" w:cs="Arial"/>
          <w:b/>
          <w:smallCaps/>
          <w:sz w:val="18"/>
          <w:szCs w:val="18"/>
        </w:rPr>
        <w:t xml:space="preserve">STANOWISKO DO UWAG ZGLOSZONYCH </w:t>
      </w:r>
      <w:r w:rsidR="00C860F2" w:rsidRPr="003E47DF">
        <w:rPr>
          <w:rFonts w:ascii="Myriad Pro" w:hAnsi="Myriad Pro" w:cs="Arial"/>
          <w:b/>
          <w:smallCaps/>
          <w:sz w:val="18"/>
          <w:szCs w:val="18"/>
        </w:rPr>
        <w:t xml:space="preserve"> DO </w:t>
      </w:r>
      <w:r w:rsidRPr="003E47DF">
        <w:rPr>
          <w:rFonts w:ascii="Myriad Pro" w:hAnsi="Myriad Pro" w:cs="Arial"/>
          <w:b/>
          <w:smallCaps/>
          <w:sz w:val="18"/>
          <w:szCs w:val="18"/>
        </w:rPr>
        <w:t>PROJEKTU ZMIAN PROGRAMU</w:t>
      </w:r>
      <w:r w:rsidR="00C860F2" w:rsidRPr="003E47DF">
        <w:rPr>
          <w:rFonts w:ascii="Myriad Pro" w:hAnsi="Myriad Pro" w:cs="Arial"/>
          <w:b/>
          <w:smallCaps/>
          <w:sz w:val="18"/>
          <w:szCs w:val="18"/>
        </w:rPr>
        <w:t xml:space="preserve"> KM </w:t>
      </w:r>
      <w:r w:rsidR="00820308" w:rsidRPr="003E47DF">
        <w:rPr>
          <w:rFonts w:ascii="Myriad Pro" w:hAnsi="Myriad Pro" w:cs="Arial"/>
          <w:b/>
          <w:smallCaps/>
          <w:sz w:val="18"/>
          <w:szCs w:val="18"/>
        </w:rPr>
        <w:t>FEPZ 2021-2027</w:t>
      </w:r>
    </w:p>
    <w:tbl>
      <w:tblPr>
        <w:tblpPr w:leftFromText="141" w:rightFromText="141" w:vertAnchor="text" w:tblpY="1"/>
        <w:tblOverlap w:val="never"/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1160"/>
        <w:gridCol w:w="1369"/>
        <w:gridCol w:w="1464"/>
        <w:gridCol w:w="2013"/>
        <w:gridCol w:w="2781"/>
        <w:gridCol w:w="3152"/>
        <w:gridCol w:w="3015"/>
      </w:tblGrid>
      <w:tr w:rsidR="00DC0A63" w:rsidRPr="003E47DF" w14:paraId="4C16467A" w14:textId="69CE6BA5" w:rsidTr="003E47DF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988F2FD" w14:textId="77777777" w:rsidR="000C5895" w:rsidRPr="003E47DF" w:rsidRDefault="000C5895" w:rsidP="003E47DF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LP.</w:t>
            </w:r>
          </w:p>
        </w:tc>
        <w:tc>
          <w:tcPr>
            <w:tcW w:w="1160" w:type="dxa"/>
            <w:shd w:val="clear" w:color="auto" w:fill="D9D9D9" w:themeFill="background1" w:themeFillShade="D9"/>
            <w:vAlign w:val="center"/>
          </w:tcPr>
          <w:p w14:paraId="75DEBADC" w14:textId="09982CA6" w:rsidR="000C5895" w:rsidRPr="003E47DF" w:rsidRDefault="000C5895" w:rsidP="003E47DF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STRONA</w:t>
            </w:r>
          </w:p>
        </w:tc>
        <w:tc>
          <w:tcPr>
            <w:tcW w:w="1369" w:type="dxa"/>
            <w:shd w:val="clear" w:color="auto" w:fill="D9D9D9" w:themeFill="background1" w:themeFillShade="D9"/>
            <w:vAlign w:val="center"/>
          </w:tcPr>
          <w:p w14:paraId="34700B6E" w14:textId="77777777" w:rsidR="000C5895" w:rsidRPr="003E47DF" w:rsidRDefault="000C5895" w:rsidP="003E47DF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479BE7C9" w14:textId="2163FFBD" w:rsidR="000C5895" w:rsidRPr="003E47DF" w:rsidRDefault="000C5895" w:rsidP="003E47DF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PRIORYTET</w:t>
            </w:r>
          </w:p>
          <w:p w14:paraId="7CB379C9" w14:textId="797AF312" w:rsidR="000C5895" w:rsidRPr="003E47DF" w:rsidRDefault="000C5895" w:rsidP="003E47DF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464" w:type="dxa"/>
            <w:shd w:val="clear" w:color="auto" w:fill="D9D9D9" w:themeFill="background1" w:themeFillShade="D9"/>
          </w:tcPr>
          <w:p w14:paraId="44AA6C32" w14:textId="77777777" w:rsidR="000C5895" w:rsidRPr="003E47DF" w:rsidRDefault="000C5895" w:rsidP="003E47DF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E0855F5" w14:textId="4F7B34EE" w:rsidR="000C5895" w:rsidRPr="003E47DF" w:rsidRDefault="000C5895" w:rsidP="003E47DF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CEL SZCZEGÓŁOWY</w:t>
            </w:r>
          </w:p>
          <w:p w14:paraId="62CD75A8" w14:textId="6F44C00B" w:rsidR="000C5895" w:rsidRPr="003E47DF" w:rsidRDefault="000C5895" w:rsidP="003E47DF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0C541B91" w14:textId="2B3D1EA5" w:rsidR="000C5895" w:rsidRPr="003E47DF" w:rsidRDefault="000C5895" w:rsidP="003E47DF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INSTYTUCJA ZGŁASZAJĄCA UWAGĘ</w:t>
            </w:r>
          </w:p>
        </w:tc>
        <w:tc>
          <w:tcPr>
            <w:tcW w:w="2781" w:type="dxa"/>
            <w:shd w:val="clear" w:color="auto" w:fill="D9D9D9" w:themeFill="background1" w:themeFillShade="D9"/>
            <w:vAlign w:val="center"/>
          </w:tcPr>
          <w:p w14:paraId="11B253C8" w14:textId="77777777" w:rsidR="000C5895" w:rsidRPr="003E47DF" w:rsidRDefault="000C5895" w:rsidP="003E47DF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TREŚĆ UWAGI</w:t>
            </w:r>
          </w:p>
        </w:tc>
        <w:tc>
          <w:tcPr>
            <w:tcW w:w="3152" w:type="dxa"/>
            <w:shd w:val="clear" w:color="auto" w:fill="D9D9D9" w:themeFill="background1" w:themeFillShade="D9"/>
            <w:vAlign w:val="center"/>
          </w:tcPr>
          <w:p w14:paraId="0144EBCA" w14:textId="6C292247" w:rsidR="000C5895" w:rsidRPr="003E47DF" w:rsidRDefault="000C5895" w:rsidP="003E47DF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UZASADNIENIE</w:t>
            </w:r>
          </w:p>
        </w:tc>
        <w:tc>
          <w:tcPr>
            <w:tcW w:w="3015" w:type="dxa"/>
            <w:shd w:val="clear" w:color="auto" w:fill="D9D9D9" w:themeFill="background1" w:themeFillShade="D9"/>
            <w:vAlign w:val="center"/>
          </w:tcPr>
          <w:p w14:paraId="2F049433" w14:textId="51930108" w:rsidR="000C5895" w:rsidRPr="003E47DF" w:rsidRDefault="000C5895" w:rsidP="003E47DF">
            <w:pPr>
              <w:spacing w:after="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STANOWISKO IZ FEPZ</w:t>
            </w:r>
          </w:p>
        </w:tc>
      </w:tr>
      <w:tr w:rsidR="000C5895" w:rsidRPr="003E47DF" w14:paraId="6917DD2E" w14:textId="5DB63AA6" w:rsidTr="003E47DF">
        <w:tc>
          <w:tcPr>
            <w:tcW w:w="0" w:type="auto"/>
            <w:shd w:val="clear" w:color="auto" w:fill="auto"/>
          </w:tcPr>
          <w:p w14:paraId="0D9A829A" w14:textId="77777777" w:rsidR="000C5895" w:rsidRPr="003E47DF" w:rsidRDefault="000C5895" w:rsidP="003E47DF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7B91096F" w14:textId="7EBA7A8E" w:rsidR="000C5895" w:rsidRPr="003E47DF" w:rsidRDefault="00277D4E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s. 227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0623F012" w14:textId="52FC8A5A" w:rsidR="000C5895" w:rsidRPr="003E47DF" w:rsidRDefault="00277D4E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6</w:t>
            </w:r>
          </w:p>
        </w:tc>
        <w:tc>
          <w:tcPr>
            <w:tcW w:w="1464" w:type="dxa"/>
            <w:vAlign w:val="center"/>
          </w:tcPr>
          <w:p w14:paraId="2F2912EC" w14:textId="64D38667" w:rsidR="000C5895" w:rsidRPr="003E47DF" w:rsidRDefault="00277D4E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ESO4.4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BBDA90C" w14:textId="1FF60687" w:rsidR="000C5895" w:rsidRPr="003E47DF" w:rsidRDefault="00277D4E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NGO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260B0847" w14:textId="66CD0D53" w:rsidR="000C5895" w:rsidRPr="003E47DF" w:rsidRDefault="00277D4E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Przywrócenie dotychczasowej alokacji środków w wysokości 46 591 156,00 EUR na działania obejmujące zakres kodu 146. Wsparcie na rzecz przystosowywania pracowników, przedsiębiorstw i przedsiębiorców do zmian</w:t>
            </w:r>
          </w:p>
        </w:tc>
        <w:tc>
          <w:tcPr>
            <w:tcW w:w="3152" w:type="dxa"/>
            <w:vAlign w:val="center"/>
          </w:tcPr>
          <w:p w14:paraId="308BA741" w14:textId="77777777" w:rsidR="00277D4E" w:rsidRPr="003E47DF" w:rsidRDefault="00277D4E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Dynamiczne zmiany na rynku pracy, rozwój technologii, cyfryzacja procesów oraz rosnące wymagania związane z zieloną transformacją sprawiają, że zapotrzebowanie na nowe kompetencje stale rośnie. Wielu przedsiębiorców nie ma możliwości samodzielnego finansowania potrzebnych szkoleń czy doradztwa dla siebie oraz pracowników, dlatego wsparcie dostępne w ramach interwencji 146 odgrywa kluczową rolę w budowaniu ich zdolności do adaptacji i dalszego rozwoju.</w:t>
            </w:r>
          </w:p>
          <w:p w14:paraId="789C321D" w14:textId="77777777" w:rsidR="00277D4E" w:rsidRPr="003E47DF" w:rsidRDefault="00277D4E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Ograniczenie alokacji oznacza mniejszy dostęp do usług rozwojowych w Bazie Usług Rozwojowych, co przełoży się na spadek poziomu kwalifikacji kadr, trudności we wdrażaniu nowych technologii oraz wolniejszą adaptację do zmian rynkowych. Ostatecznie wpłynie to negatywnie na tempo rozwoju gospodarczego i konkurencyjność MŚP z województwa zachodniopomorskiego.</w:t>
            </w:r>
          </w:p>
          <w:p w14:paraId="1B3B8A02" w14:textId="77777777" w:rsidR="00277D4E" w:rsidRPr="003E47DF" w:rsidRDefault="00277D4E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Utrzymanie pełnego finansowania w obszarze interwencji 146 jest więc niezbędne, aby zapewnić możliwość dalszego podnoszenia kompetencji, wspierać procesy cyfrowe i ekologiczne oraz wzmacniać odporność podmiotów na wyzwania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współczesnej gospodarki, w tym związana niepewną sytuacją geopolityczną.</w:t>
            </w:r>
          </w:p>
          <w:p w14:paraId="761D79F8" w14:textId="562A31C9" w:rsidR="000C5895" w:rsidRPr="003E47DF" w:rsidRDefault="00277D4E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Wnioskujemy o ponowne zwiększenie, tj. przywrócenie dotychczasowej alokacji środków w ramach Priorytetu 6, Celu szczegółowego 4.4 (kod 146).</w:t>
            </w:r>
          </w:p>
        </w:tc>
        <w:tc>
          <w:tcPr>
            <w:tcW w:w="3015" w:type="dxa"/>
            <w:vAlign w:val="center"/>
          </w:tcPr>
          <w:p w14:paraId="43EAA12A" w14:textId="704ABE1B" w:rsidR="000C5895" w:rsidRPr="003E47DF" w:rsidRDefault="001500FE" w:rsidP="003E47D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Uwaga nieuwzględniona</w:t>
            </w:r>
            <w:r w:rsidR="00D27061" w:rsidRPr="003E47DF">
              <w:rPr>
                <w:rFonts w:ascii="Myriad Pro" w:hAnsi="Myriad Pro" w:cs="Arial"/>
                <w:sz w:val="18"/>
                <w:szCs w:val="18"/>
              </w:rPr>
              <w:t>.</w:t>
            </w:r>
          </w:p>
          <w:p w14:paraId="53867117" w14:textId="4D65DAD6" w:rsidR="001500FE" w:rsidRPr="003E47DF" w:rsidRDefault="00D27061" w:rsidP="003E47D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Podtrzymuje</w:t>
            </w:r>
            <w:r w:rsidR="00FE0179" w:rsidRPr="003E47DF">
              <w:rPr>
                <w:rFonts w:ascii="Myriad Pro" w:hAnsi="Myriad Pro" w:cs="Arial"/>
                <w:sz w:val="18"/>
                <w:szCs w:val="18"/>
              </w:rPr>
              <w:t xml:space="preserve"> się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stanowisko związane z obniżeniem alokacji na kodzie interwencji 146. </w:t>
            </w:r>
            <w:r w:rsidR="00FE0179" w:rsidRPr="003E47DF">
              <w:rPr>
                <w:rFonts w:ascii="Myriad Pro" w:hAnsi="Myriad Pro" w:cs="Arial"/>
                <w:sz w:val="18"/>
                <w:szCs w:val="18"/>
              </w:rPr>
              <w:br/>
            </w:r>
            <w:r w:rsidR="003E1BFF" w:rsidRPr="003E47DF">
              <w:rPr>
                <w:rFonts w:ascii="Myriad Pro" w:hAnsi="Myriad Pro" w:cs="Arial"/>
                <w:sz w:val="18"/>
                <w:szCs w:val="18"/>
              </w:rPr>
              <w:t xml:space="preserve">W województwie zachodniopomorskim jest trzech Operatorów, którzy realizują projekty w zakresie wsparcia rozwojowego dla pracowników przedsiębiorstw i przedsiębiorców w oparciu o system popytowy poprzez Bazę Usług Rozwojowych. </w:t>
            </w:r>
            <w:r w:rsidR="001500FE" w:rsidRPr="003E47DF">
              <w:rPr>
                <w:rFonts w:ascii="Myriad Pro" w:hAnsi="Myriad Pro" w:cs="Arial"/>
                <w:sz w:val="18"/>
                <w:szCs w:val="18"/>
              </w:rPr>
              <w:t xml:space="preserve">Od samego początku wdrażania </w:t>
            </w:r>
            <w:r w:rsidR="003E1BFF" w:rsidRPr="003E47DF">
              <w:rPr>
                <w:rFonts w:ascii="Myriad Pro" w:hAnsi="Myriad Pro" w:cs="Arial"/>
                <w:sz w:val="18"/>
                <w:szCs w:val="18"/>
              </w:rPr>
              <w:t>projektów</w:t>
            </w:r>
            <w:r w:rsidR="001500FE" w:rsidRPr="003E47DF">
              <w:rPr>
                <w:rFonts w:ascii="Myriad Pro" w:hAnsi="Myriad Pro" w:cs="Arial"/>
                <w:sz w:val="18"/>
                <w:szCs w:val="18"/>
              </w:rPr>
              <w:t xml:space="preserve"> identyfikowano problemy związane z realizacją wsparcia dla przedsiębiorc</w:t>
            </w:r>
            <w:r w:rsidR="008A3615" w:rsidRPr="003E47DF">
              <w:rPr>
                <w:rFonts w:ascii="Myriad Pro" w:hAnsi="Myriad Pro" w:cs="Arial"/>
                <w:sz w:val="18"/>
                <w:szCs w:val="18"/>
              </w:rPr>
              <w:t>ów</w:t>
            </w:r>
            <w:r w:rsidR="001500FE" w:rsidRPr="003E47DF">
              <w:rPr>
                <w:rFonts w:ascii="Myriad Pro" w:hAnsi="Myriad Pro" w:cs="Arial"/>
                <w:sz w:val="18"/>
                <w:szCs w:val="18"/>
              </w:rPr>
              <w:t xml:space="preserve">. </w:t>
            </w:r>
            <w:r w:rsidR="008A3615" w:rsidRPr="003E47DF">
              <w:rPr>
                <w:rFonts w:ascii="Myriad Pro" w:hAnsi="Myriad Pro" w:cs="Arial"/>
                <w:sz w:val="18"/>
                <w:szCs w:val="18"/>
              </w:rPr>
              <w:t xml:space="preserve">Podejmowano </w:t>
            </w:r>
            <w:r w:rsidR="003E1BFF" w:rsidRPr="003E47DF">
              <w:rPr>
                <w:rFonts w:ascii="Myriad Pro" w:hAnsi="Myriad Pro" w:cs="Arial"/>
                <w:sz w:val="18"/>
                <w:szCs w:val="18"/>
              </w:rPr>
              <w:t xml:space="preserve">liczne </w:t>
            </w:r>
            <w:r w:rsidR="008A3615" w:rsidRPr="003E47DF">
              <w:rPr>
                <w:rFonts w:ascii="Myriad Pro" w:hAnsi="Myriad Pro" w:cs="Arial"/>
                <w:sz w:val="18"/>
                <w:szCs w:val="18"/>
              </w:rPr>
              <w:t xml:space="preserve">działania mające </w:t>
            </w:r>
            <w:r w:rsidR="003E1BFF" w:rsidRPr="003E47DF">
              <w:rPr>
                <w:rFonts w:ascii="Myriad Pro" w:hAnsi="Myriad Pro" w:cs="Arial"/>
                <w:sz w:val="18"/>
                <w:szCs w:val="18"/>
              </w:rPr>
              <w:t xml:space="preserve">na celu </w:t>
            </w:r>
            <w:r w:rsidR="001500FE" w:rsidRPr="003E47DF">
              <w:rPr>
                <w:rFonts w:ascii="Myriad Pro" w:hAnsi="Myriad Pro" w:cs="Arial"/>
                <w:sz w:val="18"/>
                <w:szCs w:val="18"/>
              </w:rPr>
              <w:t>zwiększ</w:t>
            </w:r>
            <w:r w:rsidR="008122A2" w:rsidRPr="003E47DF">
              <w:rPr>
                <w:rFonts w:ascii="Myriad Pro" w:hAnsi="Myriad Pro" w:cs="Arial"/>
                <w:sz w:val="18"/>
                <w:szCs w:val="18"/>
              </w:rPr>
              <w:t>enie</w:t>
            </w:r>
            <w:r w:rsidR="001500FE" w:rsidRPr="003E47DF">
              <w:rPr>
                <w:rFonts w:ascii="Myriad Pro" w:hAnsi="Myriad Pro" w:cs="Arial"/>
                <w:sz w:val="18"/>
                <w:szCs w:val="18"/>
              </w:rPr>
              <w:t xml:space="preserve"> efektywnoś</w:t>
            </w:r>
            <w:r w:rsidR="008122A2" w:rsidRPr="003E47DF">
              <w:rPr>
                <w:rFonts w:ascii="Myriad Pro" w:hAnsi="Myriad Pro" w:cs="Arial"/>
                <w:sz w:val="18"/>
                <w:szCs w:val="18"/>
              </w:rPr>
              <w:t>ci</w:t>
            </w:r>
            <w:r w:rsidR="001500FE" w:rsidRPr="003E47DF">
              <w:rPr>
                <w:rFonts w:ascii="Myriad Pro" w:hAnsi="Myriad Pro" w:cs="Arial"/>
                <w:sz w:val="18"/>
                <w:szCs w:val="18"/>
              </w:rPr>
              <w:t xml:space="preserve"> interwencji.</w:t>
            </w:r>
          </w:p>
          <w:p w14:paraId="080D9D80" w14:textId="139F9D7A" w:rsidR="00DC0A63" w:rsidRPr="003E47DF" w:rsidRDefault="001500FE" w:rsidP="003E47D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Do tych rozwiązań należało podniesienie procentowego poziomu dofinansowania pojedynczej podstawowej usługi rozwojowej </w:t>
            </w:r>
            <w:r w:rsidR="00517A3B" w:rsidRPr="003E47DF">
              <w:rPr>
                <w:rFonts w:ascii="Myriad Pro" w:hAnsi="Myriad Pro" w:cs="Arial"/>
                <w:sz w:val="18"/>
                <w:szCs w:val="18"/>
              </w:rPr>
              <w:t xml:space="preserve">z 50%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>do 70%, zwiększenie limitu wsparcia udzielanego jednemu przedsiębiorcy</w:t>
            </w:r>
            <w:r w:rsidR="00EA23FE" w:rsidRPr="003E47DF">
              <w:rPr>
                <w:rFonts w:ascii="Myriad Pro" w:hAnsi="Myriad Pro" w:cs="Arial"/>
                <w:sz w:val="18"/>
                <w:szCs w:val="18"/>
              </w:rPr>
              <w:t xml:space="preserve"> z </w:t>
            </w:r>
            <w:r w:rsidR="003E1BFF" w:rsidRPr="003E47DF">
              <w:rPr>
                <w:rFonts w:ascii="Myriad Pro" w:hAnsi="Myriad Pro" w:cs="Arial"/>
                <w:sz w:val="18"/>
                <w:szCs w:val="18"/>
              </w:rPr>
              <w:t>99</w:t>
            </w:r>
            <w:r w:rsidR="00EA23FE" w:rsidRPr="003E47DF">
              <w:rPr>
                <w:rFonts w:ascii="Myriad Pro" w:hAnsi="Myriad Pro" w:cs="Arial"/>
                <w:sz w:val="18"/>
                <w:szCs w:val="18"/>
              </w:rPr>
              <w:t> 000 zł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 do 200 000 zł oraz zwiększenie limitu kwoty na uczestnika w projekcie na PESEL </w:t>
            </w:r>
            <w:r w:rsidR="00EA23FE" w:rsidRPr="003E47DF">
              <w:rPr>
                <w:rFonts w:ascii="Myriad Pro" w:hAnsi="Myriad Pro" w:cs="Arial"/>
                <w:sz w:val="18"/>
                <w:szCs w:val="18"/>
              </w:rPr>
              <w:t xml:space="preserve">z </w:t>
            </w:r>
            <w:r w:rsidR="00EA23FE"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 xml:space="preserve">7 500 zł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>do</w:t>
            </w:r>
            <w:r w:rsidR="003E1BFF" w:rsidRPr="003E47DF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>10 000 zł. Pomimo wprowadzonych zmian tempo wydatkowania</w:t>
            </w:r>
            <w:r w:rsidR="00DC0A63" w:rsidRPr="003E47DF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>środków w</w:t>
            </w:r>
            <w:r w:rsidR="00DC0A63" w:rsidRPr="003E47DF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>realizowanych projektach nie jest odpowiednie do</w:t>
            </w:r>
            <w:r w:rsidR="00EA23FE" w:rsidRPr="003E47DF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>oczekiwanego</w:t>
            </w:r>
            <w:r w:rsidR="00EA23FE" w:rsidRPr="003E47DF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>postępu.</w:t>
            </w:r>
            <w:r w:rsidR="00DC0A63" w:rsidRPr="003E47DF">
              <w:rPr>
                <w:rFonts w:ascii="Myriad Pro" w:hAnsi="Myriad Pro" w:cs="Arial"/>
                <w:sz w:val="18"/>
                <w:szCs w:val="18"/>
              </w:rPr>
              <w:t xml:space="preserve"> Według stanu na III kw. 2025 r. tempo wydatkowania środków jest na poziomie 20-30%</w:t>
            </w:r>
            <w:r w:rsidR="008122A2" w:rsidRPr="003E47DF">
              <w:rPr>
                <w:rFonts w:ascii="Myriad Pro" w:hAnsi="Myriad Pro" w:cs="Arial"/>
                <w:sz w:val="18"/>
                <w:szCs w:val="18"/>
              </w:rPr>
              <w:t xml:space="preserve">, </w:t>
            </w:r>
            <w:r w:rsidR="00DC0A63" w:rsidRPr="003E47DF">
              <w:rPr>
                <w:rFonts w:ascii="Myriad Pro" w:hAnsi="Myriad Pro" w:cs="Arial"/>
                <w:sz w:val="18"/>
                <w:szCs w:val="18"/>
              </w:rPr>
              <w:t>natomiast r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ealizacja wskaźników jest na poziomie </w:t>
            </w:r>
            <w:r w:rsidR="00DC0A63" w:rsidRPr="003E47DF">
              <w:rPr>
                <w:rFonts w:ascii="Myriad Pro" w:hAnsi="Myriad Pro" w:cs="Arial"/>
                <w:sz w:val="18"/>
                <w:szCs w:val="18"/>
              </w:rPr>
              <w:t>ok</w:t>
            </w:r>
            <w:r w:rsidR="008122A2" w:rsidRPr="003E47DF">
              <w:rPr>
                <w:rFonts w:ascii="Myriad Pro" w:hAnsi="Myriad Pro" w:cs="Arial"/>
                <w:sz w:val="18"/>
                <w:szCs w:val="18"/>
              </w:rPr>
              <w:t>.</w:t>
            </w:r>
            <w:r w:rsidR="00DC0A63" w:rsidRPr="003E47DF">
              <w:rPr>
                <w:rFonts w:ascii="Myriad Pro" w:hAnsi="Myriad Pro" w:cs="Arial"/>
                <w:sz w:val="18"/>
                <w:szCs w:val="18"/>
              </w:rPr>
              <w:t xml:space="preserve"> 40%</w:t>
            </w:r>
            <w:r w:rsidR="008122A2" w:rsidRPr="003E47DF">
              <w:rPr>
                <w:rFonts w:ascii="Myriad Pro" w:hAnsi="Myriad Pro" w:cs="Arial"/>
                <w:sz w:val="18"/>
                <w:szCs w:val="18"/>
              </w:rPr>
              <w:t>,</w:t>
            </w:r>
            <w:r w:rsidR="00DC0A63" w:rsidRPr="003E47DF">
              <w:rPr>
                <w:rFonts w:ascii="Myriad Pro" w:hAnsi="Myriad Pro" w:cs="Arial"/>
                <w:sz w:val="18"/>
                <w:szCs w:val="18"/>
              </w:rPr>
              <w:t xml:space="preserve"> przy czym do końca realizacji projektów pozostało 10 m-</w:t>
            </w:r>
            <w:proofErr w:type="spellStart"/>
            <w:r w:rsidR="00DC0A63" w:rsidRPr="003E47DF">
              <w:rPr>
                <w:rFonts w:ascii="Myriad Pro" w:hAnsi="Myriad Pro" w:cs="Arial"/>
                <w:sz w:val="18"/>
                <w:szCs w:val="18"/>
              </w:rPr>
              <w:t>cy</w:t>
            </w:r>
            <w:proofErr w:type="spellEnd"/>
            <w:r w:rsidR="00DC0A63" w:rsidRPr="003E47DF">
              <w:rPr>
                <w:rFonts w:ascii="Myriad Pro" w:hAnsi="Myriad Pro" w:cs="Arial"/>
                <w:sz w:val="18"/>
                <w:szCs w:val="18"/>
              </w:rPr>
              <w:t xml:space="preserve"> (w przypadku jednego operatora12 m-</w:t>
            </w:r>
            <w:proofErr w:type="spellStart"/>
            <w:r w:rsidR="00DC0A63" w:rsidRPr="003E47DF">
              <w:rPr>
                <w:rFonts w:ascii="Myriad Pro" w:hAnsi="Myriad Pro" w:cs="Arial"/>
                <w:sz w:val="18"/>
                <w:szCs w:val="18"/>
              </w:rPr>
              <w:t>cy</w:t>
            </w:r>
            <w:proofErr w:type="spellEnd"/>
            <w:r w:rsidR="00DC0A63" w:rsidRPr="003E47DF">
              <w:rPr>
                <w:rFonts w:ascii="Myriad Pro" w:hAnsi="Myriad Pro" w:cs="Arial"/>
                <w:sz w:val="18"/>
                <w:szCs w:val="18"/>
              </w:rPr>
              <w:t>). Mając na uwadze powyższe</w:t>
            </w:r>
            <w:r w:rsidR="008122A2" w:rsidRPr="003E47DF">
              <w:rPr>
                <w:rFonts w:ascii="Myriad Pro" w:hAnsi="Myriad Pro" w:cs="Arial"/>
                <w:sz w:val="18"/>
                <w:szCs w:val="18"/>
              </w:rPr>
              <w:t>,</w:t>
            </w:r>
            <w:r w:rsidR="00DC0A63" w:rsidRPr="003E47DF">
              <w:rPr>
                <w:rFonts w:ascii="Myriad Pro" w:hAnsi="Myriad Pro" w:cs="Arial"/>
                <w:sz w:val="18"/>
                <w:szCs w:val="18"/>
              </w:rPr>
              <w:t xml:space="preserve"> zmniejszono alokacj</w:t>
            </w:r>
            <w:r w:rsidR="008122A2" w:rsidRPr="003E47DF">
              <w:rPr>
                <w:rFonts w:ascii="Myriad Pro" w:hAnsi="Myriad Pro" w:cs="Arial"/>
                <w:sz w:val="18"/>
                <w:szCs w:val="18"/>
              </w:rPr>
              <w:t>ę</w:t>
            </w:r>
            <w:r w:rsidR="00DC0A63" w:rsidRPr="003E47DF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="00FE0179" w:rsidRPr="003E47DF">
              <w:rPr>
                <w:rFonts w:ascii="Myriad Pro" w:hAnsi="Myriad Pro" w:cs="Arial"/>
                <w:sz w:val="18"/>
                <w:szCs w:val="18"/>
              </w:rPr>
              <w:t xml:space="preserve">w ramach </w:t>
            </w:r>
            <w:r w:rsidR="00DC0A63" w:rsidRPr="003E47DF">
              <w:rPr>
                <w:rFonts w:ascii="Myriad Pro" w:hAnsi="Myriad Pro" w:cs="Arial"/>
                <w:sz w:val="18"/>
                <w:szCs w:val="18"/>
              </w:rPr>
              <w:t>kod</w:t>
            </w:r>
            <w:r w:rsidR="00FE0179" w:rsidRPr="003E47DF">
              <w:rPr>
                <w:rFonts w:ascii="Myriad Pro" w:hAnsi="Myriad Pro" w:cs="Arial"/>
                <w:sz w:val="18"/>
                <w:szCs w:val="18"/>
              </w:rPr>
              <w:t>u</w:t>
            </w:r>
            <w:r w:rsidR="00DC0A63" w:rsidRPr="003E47DF">
              <w:rPr>
                <w:rFonts w:ascii="Myriad Pro" w:hAnsi="Myriad Pro" w:cs="Arial"/>
                <w:sz w:val="18"/>
                <w:szCs w:val="18"/>
              </w:rPr>
              <w:t xml:space="preserve"> interwencji 146.</w:t>
            </w:r>
          </w:p>
          <w:p w14:paraId="32F4CF24" w14:textId="6DCFC803" w:rsidR="001500FE" w:rsidRPr="003E47DF" w:rsidRDefault="00DC0A63" w:rsidP="003E47DF">
            <w:pPr>
              <w:spacing w:after="0" w:line="360" w:lineRule="auto"/>
              <w:contextualSpacing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Zmniejszenie alokacji nie powoduje, że przedmiotow</w:t>
            </w:r>
            <w:r w:rsidR="008122A2" w:rsidRPr="003E47DF">
              <w:rPr>
                <w:rFonts w:ascii="Myriad Pro" w:hAnsi="Myriad Pro" w:cs="Arial"/>
                <w:sz w:val="18"/>
                <w:szCs w:val="18"/>
              </w:rPr>
              <w:t>a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 interwencj</w:t>
            </w:r>
            <w:r w:rsidR="008122A2" w:rsidRPr="003E47DF">
              <w:rPr>
                <w:rFonts w:ascii="Myriad Pro" w:hAnsi="Myriad Pro" w:cs="Arial"/>
                <w:sz w:val="18"/>
                <w:szCs w:val="18"/>
              </w:rPr>
              <w:t>a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 nie będzie </w:t>
            </w:r>
            <w:r w:rsidR="008122A2" w:rsidRPr="003E47DF">
              <w:rPr>
                <w:rFonts w:ascii="Myriad Pro" w:hAnsi="Myriad Pro" w:cs="Arial"/>
                <w:sz w:val="18"/>
                <w:szCs w:val="18"/>
              </w:rPr>
              <w:t xml:space="preserve">już realizowana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w regionie. W kwietniu 2026 r. planowany jest drugi nabór (II edycja) </w:t>
            </w:r>
            <w:r w:rsidR="00FE0179" w:rsidRPr="003E47DF">
              <w:rPr>
                <w:rFonts w:ascii="Myriad Pro" w:hAnsi="Myriad Pro" w:cs="Arial"/>
                <w:sz w:val="18"/>
                <w:szCs w:val="18"/>
              </w:rPr>
              <w:t xml:space="preserve">z budżetem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t>60 mln zł. Alokacja ta pozwoli dalej wspierać pracowników przedsiębiorstw i przedsiębiorców w zakresie podnoszenia kwalifikacji/kompetencji  dostosowanych do zmieniającego się rynku pracy czy rozwoju technologii, cyfryzacji.</w:t>
            </w:r>
          </w:p>
        </w:tc>
      </w:tr>
      <w:tr w:rsidR="003E47DF" w:rsidRPr="003E47DF" w14:paraId="161DEE0A" w14:textId="74BB73F0" w:rsidTr="003E47DF">
        <w:tc>
          <w:tcPr>
            <w:tcW w:w="0" w:type="auto"/>
            <w:shd w:val="clear" w:color="auto" w:fill="auto"/>
          </w:tcPr>
          <w:p w14:paraId="538D13B0" w14:textId="77777777" w:rsidR="003E47DF" w:rsidRPr="003E47DF" w:rsidRDefault="003E47DF" w:rsidP="003E47DF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663928F1" w14:textId="01A10F2F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Str. 200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39E495DE" w14:textId="598B0905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Priorytet 6 – Fundusze Europejskie na rzecz aktywnego Pomorza Zachodniego</w:t>
            </w:r>
          </w:p>
        </w:tc>
        <w:tc>
          <w:tcPr>
            <w:tcW w:w="1464" w:type="dxa"/>
            <w:vAlign w:val="center"/>
          </w:tcPr>
          <w:p w14:paraId="668BAD6C" w14:textId="2CF64A7B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RSO4.4.  Wspieranie dostosowania pracowników, przedsiębiorstw i przedsiębiorców do zmian,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wspieranie aktywnego i zdrowego starzenia się oraz zdrowego i dobrze dostosowanego środowiska pracy, które uwzględnia zagrożenia dla zdrowia (EFS+)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1564A35" w14:textId="5E803720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 xml:space="preserve">IK UP </w:t>
            </w:r>
            <w:proofErr w:type="spellStart"/>
            <w:r w:rsidRPr="003E47DF">
              <w:rPr>
                <w:rFonts w:ascii="Myriad Pro" w:hAnsi="Myriad Pro" w:cs="Arial"/>
                <w:sz w:val="18"/>
                <w:szCs w:val="18"/>
              </w:rPr>
              <w:t>MFiPR</w:t>
            </w:r>
            <w:proofErr w:type="spellEnd"/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 - DRP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36697D97" w14:textId="638521B6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Zmniejszenie alokacji oraz wskaźników w zakresie 4.4, przy jednoczesnym utworzeniu nowego Priorytetu 2.11.</w:t>
            </w:r>
          </w:p>
        </w:tc>
        <w:tc>
          <w:tcPr>
            <w:tcW w:w="3152" w:type="dxa"/>
            <w:vAlign w:val="center"/>
          </w:tcPr>
          <w:p w14:paraId="35B74071" w14:textId="681CB1E9" w:rsidR="003E47DF" w:rsidRPr="003E47DF" w:rsidRDefault="003E47DF" w:rsidP="003E47DF">
            <w:pPr>
              <w:spacing w:line="288" w:lineRule="auto"/>
              <w:ind w:right="747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Przesunięcie dotyczy środków z celów o zbliżonej tematyce, nieuwzględnionych w ramach priorytetów określonych przez komisarza </w:t>
            </w:r>
            <w:proofErr w:type="spellStart"/>
            <w:r w:rsidRPr="003E47DF">
              <w:rPr>
                <w:rFonts w:ascii="Myriad Pro" w:hAnsi="Myriad Pro" w:cs="Arial"/>
                <w:sz w:val="18"/>
                <w:szCs w:val="18"/>
              </w:rPr>
              <w:t>Fitto</w:t>
            </w:r>
            <w:proofErr w:type="spellEnd"/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, na cele wpisujące się w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te priorytety. Zgodnie z informacją przekazaną podczas roboczych spotkań regionów Komisja Europejska nie wyraziła zgody na ograniczenie zakresu interwencji w obszarze mieszkalnictwa.</w:t>
            </w:r>
          </w:p>
        </w:tc>
        <w:tc>
          <w:tcPr>
            <w:tcW w:w="3015" w:type="dxa"/>
          </w:tcPr>
          <w:p w14:paraId="70FE3092" w14:textId="77777777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lastRenderedPageBreak/>
              <w:t xml:space="preserve">Cel szczegółowy 4.4 w ramach EFRR odnosi się do migrantów. Jednocześnie, zmniejszenie alokacji w zakresie mieszkalnictwa w celu szczegółowym 4.3 EFRR wynika z faktu, że w jego ramach uruchomione wsparcie na </w:t>
            </w:r>
            <w:r w:rsidRPr="003E47DF">
              <w:rPr>
                <w:rFonts w:ascii="Myriad Pro" w:hAnsi="Myriad Pro" w:cstheme="minorHAnsi"/>
                <w:sz w:val="18"/>
                <w:szCs w:val="18"/>
              </w:rPr>
              <w:lastRenderedPageBreak/>
              <w:t xml:space="preserve">mieszkalnictwo wspomagane nie cieszyło się zainteresowaniem. W związku z tym realokowano środki na obszary mieszkaniowe w </w:t>
            </w:r>
            <w:proofErr w:type="spellStart"/>
            <w:r w:rsidRPr="003E47DF">
              <w:rPr>
                <w:rFonts w:ascii="Myriad Pro" w:hAnsi="Myriad Pro" w:cstheme="minorHAnsi"/>
                <w:sz w:val="18"/>
                <w:szCs w:val="18"/>
              </w:rPr>
              <w:t>cs</w:t>
            </w:r>
            <w:proofErr w:type="spellEnd"/>
            <w:r w:rsidRPr="003E47DF">
              <w:rPr>
                <w:rFonts w:ascii="Myriad Pro" w:hAnsi="Myriad Pro" w:cstheme="minorHAnsi"/>
                <w:sz w:val="18"/>
                <w:szCs w:val="18"/>
              </w:rPr>
              <w:t xml:space="preserve"> 2.11 w zakresie wsparcia najuboższych obszarów województwa.</w:t>
            </w:r>
          </w:p>
          <w:p w14:paraId="26ADE018" w14:textId="77777777" w:rsidR="003E47DF" w:rsidRDefault="003E47DF" w:rsidP="003E47DF">
            <w:pPr>
              <w:spacing w:line="288" w:lineRule="auto"/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Należy mieć na uwadze, że Województwo Zachodniopomorskie zakłada  wsparcie mieszkalnictwa przystępnego cenowo, którego dotychczas nie było w programie i cała kwota w Priorytecie 12., tj. 13 mln euro powinna być traktowana jako nowe środki, a nie przesunięcie i likwidacja przedmiotowego wsparcia w innym priorytecie, bo takiego wsparcia nie było.</w:t>
            </w:r>
          </w:p>
          <w:p w14:paraId="565BB28D" w14:textId="02EBAF39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W przedmiotowym</w:t>
            </w:r>
            <w:r>
              <w:rPr>
                <w:rFonts w:ascii="Myriad Pro" w:hAnsi="Myriad Pro" w:cstheme="minorHAnsi"/>
                <w:sz w:val="18"/>
                <w:szCs w:val="18"/>
              </w:rPr>
              <w:t xml:space="preserve"> </w:t>
            </w:r>
            <w:r w:rsidRPr="003E47DF">
              <w:rPr>
                <w:rFonts w:ascii="Myriad Pro" w:hAnsi="Myriad Pro" w:cstheme="minorHAnsi"/>
                <w:sz w:val="18"/>
                <w:szCs w:val="18"/>
              </w:rPr>
              <w:t>zakresie wciąż trwają</w:t>
            </w:r>
            <w:r>
              <w:rPr>
                <w:rFonts w:ascii="Myriad Pro" w:hAnsi="Myriad Pro" w:cstheme="minorHAnsi"/>
                <w:sz w:val="18"/>
                <w:szCs w:val="18"/>
              </w:rPr>
              <w:t xml:space="preserve"> </w:t>
            </w:r>
            <w:r w:rsidRPr="003E47DF">
              <w:rPr>
                <w:rFonts w:ascii="Myriad Pro" w:hAnsi="Myriad Pro" w:cstheme="minorHAnsi"/>
                <w:sz w:val="18"/>
                <w:szCs w:val="18"/>
              </w:rPr>
              <w:t>uzgodnienia z</w:t>
            </w:r>
            <w:r>
              <w:rPr>
                <w:rFonts w:ascii="Myriad Pro" w:hAnsi="Myriad Pro" w:cstheme="minorHAnsi"/>
                <w:sz w:val="18"/>
                <w:szCs w:val="18"/>
              </w:rPr>
              <w:t xml:space="preserve"> </w:t>
            </w:r>
            <w:r w:rsidRPr="003E47DF">
              <w:rPr>
                <w:rFonts w:ascii="Myriad Pro" w:hAnsi="Myriad Pro" w:cstheme="minorHAnsi"/>
                <w:sz w:val="18"/>
                <w:szCs w:val="18"/>
              </w:rPr>
              <w:t>przedstawicielami Komisji Europejskiej.</w:t>
            </w:r>
          </w:p>
        </w:tc>
      </w:tr>
      <w:tr w:rsidR="003E47DF" w:rsidRPr="003E47DF" w14:paraId="4A2DB40F" w14:textId="16DDA883" w:rsidTr="003E47DF">
        <w:tc>
          <w:tcPr>
            <w:tcW w:w="0" w:type="auto"/>
            <w:shd w:val="clear" w:color="auto" w:fill="auto"/>
          </w:tcPr>
          <w:p w14:paraId="1541BC85" w14:textId="77777777" w:rsidR="003E47DF" w:rsidRPr="003E47DF" w:rsidRDefault="003E47DF" w:rsidP="003E47DF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15E9E75A" w14:textId="77777777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495D218A" w14:textId="056B26ED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Priorytet 5 - poz.99 – Fundusze Europejskie na rzecz przyjaznego mieszkankom i mieszkańcom Pomorza Zachodniego</w:t>
            </w:r>
          </w:p>
        </w:tc>
        <w:tc>
          <w:tcPr>
            <w:tcW w:w="1464" w:type="dxa"/>
            <w:vAlign w:val="center"/>
          </w:tcPr>
          <w:p w14:paraId="7EE1C4AF" w14:textId="2DA9DF3A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Cel szczegółowy: RSO4.5. Zapewnianie równego dostępu do opieki zdrowotnej i wspieranie odporności systemów opieki zdrowotnej, w tym podstawowej opieki zdrowotnej, oraz wspieranie przechodzenia od opieki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instytucjonalnej do opieki rodzinnej i środowiskowej (EFRR)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4DC8DAB" w14:textId="7C06AB95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 xml:space="preserve">IK UP </w:t>
            </w:r>
            <w:proofErr w:type="spellStart"/>
            <w:r w:rsidRPr="003E47DF">
              <w:rPr>
                <w:rFonts w:ascii="Myriad Pro" w:hAnsi="Myriad Pro" w:cs="Arial"/>
                <w:sz w:val="18"/>
                <w:szCs w:val="18"/>
              </w:rPr>
              <w:t>MFiPR</w:t>
            </w:r>
            <w:proofErr w:type="spellEnd"/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 - DRP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11DE5966" w14:textId="7AC10379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Wykreślenie odniesienia do poziomów referencyjności wydaje się niezasadne. Umowa Partnerstwo wprawdzie nie definiuje wsparcia na poszczególnych poziomach referencyjności, ale odwołuje się do zapisów linii demarkacyjnej. Zgodnie z aktualnym brzmieniem LD wsparcie w zakresie opieki psychiatrycznej w programach regionalnych jest dopuszczane o ile jest ono komplementarnie do poziomu krajowego i jest realizowane po uzyskaniu uprzednio zgody Ministra Zdrowia i Komitetu Sterującego ds. koordynacji wparcia w sektorze zdrowia (KSZ). Zgodnie z Regulaminem KSZ, zgoda ta jest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uzyskiwana poprzez zatwierdzenie przez KSZ założeń dla danego naboru zarówno konkursowego jak i pozakonkursowego po uzyskaniu opinii departament właściwy do spraw zdrowia psychicznego Ministerstwa Zdrowia w zakresie zgodności planowanego wsparcia z założeniami reformy psychiatrii realizowanej przez MZ.</w:t>
            </w:r>
          </w:p>
          <w:p w14:paraId="221C105F" w14:textId="59AF2DB2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O ile zaproponowany w zmienianym programie zapis usuwający odniesienie do poziomów referencyjności jest zgodny z zapisem punktu 5 pn. „Rekomendacje dla kryteriów dostępu o charakterze obligatoryjnym”, Rekomendacji dla kryteriów wyboru projektów w zakresie psychiatrii zgodnie z Załącznikiem do Uchwały Nr 6/2023/II z dnia 28 sierpnia 2023 r. KSZ, to jednak w pozostałych punktach kryteriów rekomendowanych przez KSZ, poziomy referencyjności mają zastosowanie zarówno do psychiatrii dzieci i młodzieży jak i osób dorosłych. Usunięcie zaproponowanych zapisów może stwarzać na etapie konkursów ryzyko braku podstaw do tworzenia kryteriów z zakresu wsparcia psychiatrii na poziomie regionalnym i ich zatwierdzania na poziomie KSZ.</w:t>
            </w:r>
          </w:p>
          <w:p w14:paraId="6C338720" w14:textId="29ACC4A2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Niezależnie od powyższego, warunek wsparcia rozwoju środowiskowego modelu ochrony zdrowia psychicznego w oparciu o wszystkie trzy poziomy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referencyjności został wpisany do programów regionalnych przez KE i nie jest on ograniczony do wsparcia tylko psychiatrii dziecięcej. Otwieranie dyskusji z KE na tym etapie zdaje się niezasadne, niezależnie od formy udzielanego przez region wsparcia. Dlatego też sugerujemy pozostawić obecny zapis bez zmian.</w:t>
            </w:r>
          </w:p>
        </w:tc>
        <w:tc>
          <w:tcPr>
            <w:tcW w:w="3152" w:type="dxa"/>
            <w:vAlign w:val="center"/>
          </w:tcPr>
          <w:p w14:paraId="15D51B65" w14:textId="77777777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3015" w:type="dxa"/>
            <w:vAlign w:val="center"/>
          </w:tcPr>
          <w:p w14:paraId="191FBC0A" w14:textId="711612FA" w:rsidR="003E47DF" w:rsidRDefault="003E47DF" w:rsidP="003E47DF">
            <w:pPr>
              <w:spacing w:line="288" w:lineRule="auto"/>
              <w:ind w:right="747"/>
              <w:jc w:val="center"/>
              <w:rPr>
                <w:rFonts w:ascii="Myriad Pro" w:hAnsi="Myriad Pro" w:cstheme="minorHAnsi"/>
                <w:b/>
                <w:sz w:val="18"/>
                <w:szCs w:val="18"/>
              </w:rPr>
            </w:pPr>
            <w:r>
              <w:rPr>
                <w:rFonts w:ascii="Myriad Pro" w:hAnsi="Myriad Pro" w:cstheme="minorHAnsi"/>
                <w:b/>
                <w:sz w:val="18"/>
                <w:szCs w:val="18"/>
              </w:rPr>
              <w:t xml:space="preserve">       </w:t>
            </w:r>
            <w:r w:rsidRPr="003E47DF">
              <w:rPr>
                <w:rFonts w:ascii="Myriad Pro" w:hAnsi="Myriad Pro" w:cstheme="minorHAnsi"/>
                <w:b/>
                <w:sz w:val="18"/>
                <w:szCs w:val="18"/>
              </w:rPr>
              <w:t>Uwaga nie odnosi się do</w:t>
            </w:r>
            <w:r>
              <w:rPr>
                <w:rFonts w:ascii="Myriad Pro" w:hAnsi="Myriad Pro" w:cstheme="minorHAnsi"/>
                <w:b/>
                <w:sz w:val="18"/>
                <w:szCs w:val="18"/>
              </w:rPr>
              <w:t xml:space="preserve"> </w:t>
            </w:r>
            <w:r w:rsidRPr="003E47DF">
              <w:rPr>
                <w:rFonts w:ascii="Myriad Pro" w:hAnsi="Myriad Pro" w:cstheme="minorHAnsi"/>
                <w:b/>
                <w:sz w:val="18"/>
                <w:szCs w:val="18"/>
              </w:rPr>
              <w:t>wersji przedstawionej do przyjęcia.</w:t>
            </w:r>
          </w:p>
          <w:p w14:paraId="50966289" w14:textId="2E4145CE" w:rsidR="003E47DF" w:rsidRPr="003E47DF" w:rsidRDefault="003E47DF" w:rsidP="003E47DF">
            <w:pPr>
              <w:spacing w:line="288" w:lineRule="auto"/>
              <w:ind w:right="747"/>
              <w:jc w:val="center"/>
              <w:rPr>
                <w:rFonts w:ascii="Myriad Pro" w:hAnsi="Myriad Pro" w:cstheme="minorHAnsi"/>
                <w:b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W wersji, która została przekazana członkom Komitetu Monitorującego FEZP w dniu 18 listopada br., wskazany zapis został przywrócony.</w:t>
            </w:r>
          </w:p>
        </w:tc>
      </w:tr>
      <w:tr w:rsidR="003E47DF" w:rsidRPr="003E47DF" w14:paraId="4512D202" w14:textId="344EFD68" w:rsidTr="003E47DF">
        <w:tc>
          <w:tcPr>
            <w:tcW w:w="0" w:type="auto"/>
            <w:shd w:val="clear" w:color="auto" w:fill="auto"/>
          </w:tcPr>
          <w:p w14:paraId="566183A8" w14:textId="77777777" w:rsidR="003E47DF" w:rsidRPr="003E47DF" w:rsidRDefault="003E47DF" w:rsidP="003E47DF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7604A68F" w14:textId="63EDD4F3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Najnowsza wersja programu str. 314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2B76B6AF" w14:textId="74E0677C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Priorytet 12 – Fundusze Europejskie na rzecz bezpiecznego Pomorza Zachodniego</w:t>
            </w:r>
          </w:p>
        </w:tc>
        <w:tc>
          <w:tcPr>
            <w:tcW w:w="1464" w:type="dxa"/>
            <w:vAlign w:val="center"/>
          </w:tcPr>
          <w:p w14:paraId="53644236" w14:textId="5D20E0E3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RSO 3.3  Rozwój odpornej infrastruktury obronnej, przy priorytetowym traktowaniu infrastruktury podwójnego zastosowania, w tym w celu wspierania mobilności wojskowej w Unii, oraz zwiększenie gotowości cywilnej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44B1F6F" w14:textId="5B11D018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proofErr w:type="spellStart"/>
            <w:r w:rsidRPr="003E47DF">
              <w:rPr>
                <w:rFonts w:ascii="Myriad Pro" w:hAnsi="Myriad Pro" w:cs="Arial"/>
                <w:sz w:val="18"/>
                <w:szCs w:val="18"/>
              </w:rPr>
              <w:t>MFiPR</w:t>
            </w:r>
            <w:proofErr w:type="spellEnd"/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 DRP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6042B81E" w14:textId="77777777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Treść programu: Ponadto, przewidziano wsparcie dla projektów specjalistycznych o charakterze wojskowym lub obronnym, które wspierają mobilność lub środki ograniczające mobilność, obejmujące budowę i modernizację obiektów magazynowych w pobliżu kluczowych szlaków transportowych (obiekty do składowania strategicznych zapasów), rozbudowę infrastruktury komunikacyjnej i fortyfikacyjnej.</w:t>
            </w:r>
          </w:p>
          <w:p w14:paraId="7A9E4531" w14:textId="3078DF81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Powyższe zapisy budzą wątpliwość. Nie wiadomo co oznaczają określenia ,,projekty specjalistyczne o charakterze wojskowym”, ,, środki ograniczające mobilność” albo ,,infrastruktura fortyfikacyjna”.</w:t>
            </w:r>
          </w:p>
          <w:p w14:paraId="5101A038" w14:textId="24D15107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Poza budową magazynu ciężko jest przypisać przynależność inwestycji do dual- </w:t>
            </w:r>
            <w:proofErr w:type="spellStart"/>
            <w:r w:rsidRPr="003E47DF">
              <w:rPr>
                <w:rFonts w:ascii="Myriad Pro" w:hAnsi="Myriad Pro" w:cs="Arial"/>
                <w:sz w:val="18"/>
                <w:szCs w:val="18"/>
              </w:rPr>
              <w:t>use</w:t>
            </w:r>
            <w:proofErr w:type="spellEnd"/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 lub zwiększania gotowości cywilnej. Naszym zdaniem  w ramach nowego celu 3.3 nie jest możliwe w wsparcie na obiekty inżynierskie, które mają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ograniczać mobilność, tak jak zostało to wskazane w programie.</w:t>
            </w:r>
          </w:p>
        </w:tc>
        <w:tc>
          <w:tcPr>
            <w:tcW w:w="3152" w:type="dxa"/>
            <w:vAlign w:val="center"/>
          </w:tcPr>
          <w:p w14:paraId="072AF01D" w14:textId="28232989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Projekty powinny być w pierwszej kolejności skupione wokół infrastruktury dual-</w:t>
            </w:r>
            <w:proofErr w:type="spellStart"/>
            <w:r w:rsidRPr="003E47DF">
              <w:rPr>
                <w:rFonts w:ascii="Myriad Pro" w:hAnsi="Myriad Pro" w:cs="Arial"/>
                <w:sz w:val="18"/>
                <w:szCs w:val="18"/>
              </w:rPr>
              <w:t>use</w:t>
            </w:r>
            <w:proofErr w:type="spellEnd"/>
            <w:r w:rsidRPr="003E47DF">
              <w:rPr>
                <w:rFonts w:ascii="Myriad Pro" w:hAnsi="Myriad Pro" w:cs="Arial"/>
                <w:sz w:val="18"/>
                <w:szCs w:val="18"/>
              </w:rPr>
              <w:t>, gotowości cywilnej. Przytoczone zapisy wskazują na jednostronne wsparcie obiektów wojskowych lub powiązanych.</w:t>
            </w:r>
          </w:p>
          <w:p w14:paraId="154A2F47" w14:textId="67FD4628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Projekty takie jak zakup taboru nie powinny być przenoszone do nowych celów bez zmiany, która kwalifikowała by projekt do jego zrealizowania w ramach nowych celów.</w:t>
            </w:r>
          </w:p>
          <w:p w14:paraId="3438142A" w14:textId="5A047DBD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Polityka spójności nie może być wykorzystywana do wspierania zakupu sprzętu wojskowego,</w:t>
            </w:r>
          </w:p>
        </w:tc>
        <w:tc>
          <w:tcPr>
            <w:tcW w:w="3015" w:type="dxa"/>
            <w:vAlign w:val="center"/>
          </w:tcPr>
          <w:p w14:paraId="3D77E137" w14:textId="77777777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Przeformułowano zapisy w ramach celu szczegółowego 3.3, w tym usunięto wskazane zdanie.</w:t>
            </w:r>
          </w:p>
          <w:p w14:paraId="555C5E3D" w14:textId="360D7615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</w:tr>
      <w:tr w:rsidR="003E47DF" w:rsidRPr="003E47DF" w14:paraId="45FD3E5C" w14:textId="539833BC" w:rsidTr="00BB2C6D">
        <w:tc>
          <w:tcPr>
            <w:tcW w:w="0" w:type="auto"/>
            <w:shd w:val="clear" w:color="auto" w:fill="auto"/>
          </w:tcPr>
          <w:p w14:paraId="7E0F63AD" w14:textId="77777777" w:rsidR="003E47DF" w:rsidRPr="003E47DF" w:rsidRDefault="003E47DF" w:rsidP="003E47DF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2F6FD298" w14:textId="2200CCE2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Najnowsza wersja programu str. 314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FEED6AD" w14:textId="3C3D56B0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Priorytet 12  Fundusze Europejskie na rzecz bezpiecznego Pomorza Zachodniego</w:t>
            </w:r>
          </w:p>
        </w:tc>
        <w:tc>
          <w:tcPr>
            <w:tcW w:w="1464" w:type="dxa"/>
            <w:vAlign w:val="center"/>
          </w:tcPr>
          <w:p w14:paraId="4CA0BA44" w14:textId="6C015D77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RSO 3.3 Rozwój odpornej infrastruktury obronnej, przy priorytetowym traktowaniu infrastruktury podwójnego zastosowania, w tym w celu wspierania mobilności wojskowej w Unii, oraz zwiększenie gotowości cywilnej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8AE934C" w14:textId="326943DB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proofErr w:type="spellStart"/>
            <w:r w:rsidRPr="003E47DF">
              <w:rPr>
                <w:rFonts w:ascii="Myriad Pro" w:hAnsi="Myriad Pro" w:cs="Arial"/>
                <w:sz w:val="18"/>
                <w:szCs w:val="18"/>
              </w:rPr>
              <w:t>MFiPR</w:t>
            </w:r>
            <w:proofErr w:type="spellEnd"/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 DRP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3B448EF3" w14:textId="7A79611E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Treść programu: Tym samym w ramach celu szczegółowego planowane jest wsparcie […] zakupu  taboru kolejowego […].</w:t>
            </w:r>
          </w:p>
          <w:p w14:paraId="1C55AC8B" w14:textId="502CC9B5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Naszym zdaniem tabor kolejowy w ramach nowego celu 3.3 powinien posiadać wyposażenie/elementy, które kwalifikowałby go do zakupu w ramach nowego celu. Co do zasady nie powinno się przenosić projektów z innych celów.</w:t>
            </w:r>
          </w:p>
        </w:tc>
        <w:tc>
          <w:tcPr>
            <w:tcW w:w="3152" w:type="dxa"/>
            <w:vAlign w:val="center"/>
          </w:tcPr>
          <w:p w14:paraId="1A9F5DA5" w14:textId="439476F1" w:rsidR="003E47DF" w:rsidRPr="003E47DF" w:rsidRDefault="003E47DF" w:rsidP="003E47DF">
            <w:pPr>
              <w:tabs>
                <w:tab w:val="left" w:pos="5848"/>
              </w:tabs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Projekty w ramach nowego </w:t>
            </w:r>
            <w:proofErr w:type="spellStart"/>
            <w:r w:rsidRPr="003E47DF">
              <w:rPr>
                <w:rFonts w:ascii="Myriad Pro" w:hAnsi="Myriad Pro" w:cs="Arial"/>
                <w:sz w:val="18"/>
                <w:szCs w:val="18"/>
              </w:rPr>
              <w:t>cs</w:t>
            </w:r>
            <w:proofErr w:type="spellEnd"/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 3.3 powinny mieć dodatkowe elementy/cech, które powodują ich klasyfikację do w </w:t>
            </w:r>
            <w:proofErr w:type="spellStart"/>
            <w:r w:rsidRPr="003E47DF">
              <w:rPr>
                <w:rFonts w:ascii="Myriad Pro" w:hAnsi="Myriad Pro" w:cs="Arial"/>
                <w:sz w:val="18"/>
                <w:szCs w:val="18"/>
              </w:rPr>
              <w:t>cs</w:t>
            </w:r>
            <w:proofErr w:type="spellEnd"/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 3.2.</w:t>
            </w:r>
          </w:p>
        </w:tc>
        <w:tc>
          <w:tcPr>
            <w:tcW w:w="3015" w:type="dxa"/>
          </w:tcPr>
          <w:p w14:paraId="1BA0D5EB" w14:textId="77777777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W zakresie zakupu taboru nie występuje przenoszenie projektów z innych celów, gdyż projekt przewidziany do finansowania w ramach celu szczegółowego 3.2 został wsparty z Krajowego Planu Odbudowy.</w:t>
            </w:r>
          </w:p>
          <w:p w14:paraId="043B59DD" w14:textId="1456AE9C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 xml:space="preserve">Wsparcie zaplanowane w </w:t>
            </w:r>
            <w:proofErr w:type="spellStart"/>
            <w:r w:rsidRPr="003E47DF">
              <w:rPr>
                <w:rFonts w:ascii="Myriad Pro" w:hAnsi="Myriad Pro" w:cstheme="minorHAnsi"/>
                <w:sz w:val="18"/>
                <w:szCs w:val="18"/>
              </w:rPr>
              <w:t>cs</w:t>
            </w:r>
            <w:proofErr w:type="spellEnd"/>
            <w:r w:rsidRPr="003E47DF">
              <w:rPr>
                <w:rFonts w:ascii="Myriad Pro" w:hAnsi="Myriad Pro" w:cstheme="minorHAnsi"/>
                <w:sz w:val="18"/>
                <w:szCs w:val="18"/>
              </w:rPr>
              <w:t xml:space="preserve"> 3.3 dotyczyć ma działań zwiększających możliwości w zakresie masowej ewakuacji. Zakup taboru kolejowego odgrywa kluczową rolę w planowaniu masowej ewakuacji ludności i rannych, zapewniając dużą pojemność transportową. Działania w tym zakresie zostaną uzgodnione z Wojewodą Zachodniopomorskim, odpowiedzialnym za opracowanie wojewódzkiego planu ewakuacji.</w:t>
            </w:r>
          </w:p>
          <w:p w14:paraId="11058A84" w14:textId="73F31D51" w:rsidR="003E47DF" w:rsidRPr="003E47DF" w:rsidRDefault="003E47DF" w:rsidP="003E47DF">
            <w:pPr>
              <w:tabs>
                <w:tab w:val="left" w:pos="5848"/>
              </w:tabs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Ponadto,  w przedmiotowym zakresie wciąż trwają uzgodnienia z przedstawicielami Komisji Europejskiej.</w:t>
            </w:r>
          </w:p>
        </w:tc>
      </w:tr>
      <w:tr w:rsidR="003E47DF" w:rsidRPr="003E47DF" w14:paraId="03F14876" w14:textId="1C9FADEA" w:rsidTr="003E47DF">
        <w:tc>
          <w:tcPr>
            <w:tcW w:w="0" w:type="auto"/>
            <w:shd w:val="clear" w:color="auto" w:fill="auto"/>
          </w:tcPr>
          <w:p w14:paraId="1F4E1FBF" w14:textId="77777777" w:rsidR="003E47DF" w:rsidRPr="003E47DF" w:rsidRDefault="003E47DF" w:rsidP="003E47DF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1324B170" w14:textId="35770E11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142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01B7E15F" w14:textId="6E853816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Priorytet 4 – Fundusze Europejskie na rzecz połączonego Pomorza Zachodniego</w:t>
            </w:r>
          </w:p>
        </w:tc>
        <w:tc>
          <w:tcPr>
            <w:tcW w:w="1464" w:type="dxa"/>
            <w:vAlign w:val="center"/>
          </w:tcPr>
          <w:p w14:paraId="794F1D58" w14:textId="1C1ACEC6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RSO3.2. Rozwój i udoskonalanie zrównoważonej, odpornej na zmiany klimatu, inteligentnej i intermodalnej mobilności na poziomie krajowym, regionalnym i lokalnym, w tym poprawa dostępu do TEN-T oraz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mobilności transgranicznej (EFRR)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64D9829" w14:textId="4EA8FB17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Powiat Szczecinecki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69D31B89" w14:textId="2C179AD6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Zwiększenie puli środków przeznaczonych na dofinansowanie projektów w Działaniu 4.1 Infrastruktura transportowa (drogi powiatowe) o 10 000 000,00 euro, tj. z 15 000 000,00 euro na 25 000 000,00 euro, w celu zwiększenia maksymalnej kwoty dofinansowania dla jednego powiatu.</w:t>
            </w:r>
          </w:p>
        </w:tc>
        <w:tc>
          <w:tcPr>
            <w:tcW w:w="3152" w:type="dxa"/>
            <w:vAlign w:val="center"/>
          </w:tcPr>
          <w:p w14:paraId="7AC8B4B7" w14:textId="211D074C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396EA05" w14:textId="1D8FAE04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 xml:space="preserve">Zgodnie z Regulaminem naboru Działania 4.1, maksymalna kwota dofinansowania dla jednego powiatu na budowę lub modernizację drogi powiatowej wynosi 3 400 000,00 zł. Taką kwotę może pozyskać samorząd powiatowy pod warunkiem, iż projekt znajduje się w Wykazie inwestycji na drogach powiatowych, wskazanym w Regionalnym Planie Transportowym Województwa Zachodniopomorskiego do roku 2030. Ponadto wsparcie w naborze przeznaczone jest wyłącznie </w:t>
            </w:r>
            <w:r w:rsidRPr="003E47DF">
              <w:rPr>
                <w:rFonts w:ascii="Myriad Pro" w:hAnsi="Myriad Pro" w:cs="Arial"/>
                <w:sz w:val="18"/>
                <w:szCs w:val="18"/>
              </w:rPr>
              <w:lastRenderedPageBreak/>
              <w:t>na realizacje przedsięwzięć o charakterze dostępowym, tj. takich, które zapewnią niezbędne połączenie z siecią TEN-t, przejściami granicznymi, terminalami intermodalnymi, itd.</w:t>
            </w:r>
          </w:p>
          <w:p w14:paraId="6F9C7511" w14:textId="2C139B82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Biorąc po uwagę fakt, iż średni koszt przebudowy 1 km drogi powiatowej wynosi ok. 2 mln zł, powiaty w okresie programowania 2021-2027 są w stanie zmodernizować ze środków unijnych jedynie niecałe 2 km drogi powiatowej.</w:t>
            </w:r>
          </w:p>
          <w:p w14:paraId="6043F04E" w14:textId="07418BB8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Powiat Szczecinecki ma pod swoim nadzorem ponad 500 km dróg, wymagających znacznych nakładów finansowych w kontekście remontów i inwestycji dróg, ale również ich letniego i zimowego utrzymania.</w:t>
            </w:r>
          </w:p>
          <w:p w14:paraId="71ADAAB3" w14:textId="2966C62A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="Arial"/>
                <w:sz w:val="18"/>
                <w:szCs w:val="18"/>
              </w:rPr>
              <w:t>Modernizacja dróg powiatowych jest kluczowa dla połączenia mniejszych miejscowości z centrami administracyjnymi i poprawy płynności ruchu w całym regionie, stąd zapisane w Regulaminie naboru środki są niewystarczające i należy je zwiększyć.</w:t>
            </w:r>
          </w:p>
        </w:tc>
        <w:tc>
          <w:tcPr>
            <w:tcW w:w="3015" w:type="dxa"/>
            <w:vAlign w:val="center"/>
          </w:tcPr>
          <w:p w14:paraId="075EDBDD" w14:textId="77777777" w:rsidR="003E47DF" w:rsidRPr="003E47DF" w:rsidRDefault="003E47DF" w:rsidP="003E47DF">
            <w:pPr>
              <w:tabs>
                <w:tab w:val="left" w:pos="5848"/>
              </w:tabs>
              <w:spacing w:line="288" w:lineRule="auto"/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lastRenderedPageBreak/>
              <w:t>Uwaga nieuwzględniona.</w:t>
            </w:r>
          </w:p>
          <w:p w14:paraId="34DFBA2F" w14:textId="5D256867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 xml:space="preserve">W perspektywie 2021-2027, projekty z zakresu infrastruktury drogowej nie są traktowane przez Komisję Europejską jako przedsięwzięcia priorytetowe. Nie ma zgody ze strony KE na zwiększenie aktualnej </w:t>
            </w:r>
            <w:proofErr w:type="spellStart"/>
            <w:r w:rsidRPr="003E47DF">
              <w:rPr>
                <w:rFonts w:ascii="Myriad Pro" w:hAnsi="Myriad Pro" w:cstheme="minorHAnsi"/>
                <w:sz w:val="18"/>
                <w:szCs w:val="18"/>
              </w:rPr>
              <w:t>alokacjj</w:t>
            </w:r>
            <w:proofErr w:type="spellEnd"/>
            <w:r w:rsidRPr="003E47DF">
              <w:rPr>
                <w:rFonts w:ascii="Myriad Pro" w:hAnsi="Myriad Pro" w:cstheme="minorHAnsi"/>
                <w:sz w:val="18"/>
                <w:szCs w:val="18"/>
              </w:rPr>
              <w:t xml:space="preserve"> w programie na tego typu przedsięwzięcia.</w:t>
            </w:r>
          </w:p>
        </w:tc>
      </w:tr>
      <w:tr w:rsidR="003E47DF" w:rsidRPr="003E47DF" w14:paraId="5BF774AA" w14:textId="05F65E31" w:rsidTr="004C095F">
        <w:tc>
          <w:tcPr>
            <w:tcW w:w="0" w:type="auto"/>
            <w:shd w:val="clear" w:color="auto" w:fill="auto"/>
          </w:tcPr>
          <w:p w14:paraId="5A758EEA" w14:textId="77777777" w:rsidR="003E47DF" w:rsidRPr="003E47DF" w:rsidRDefault="003E47DF" w:rsidP="003E47DF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6AF87BC0" w14:textId="315DE499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276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7A17858A" w14:textId="77777777" w:rsidR="003E47DF" w:rsidRPr="003E47DF" w:rsidRDefault="003E47DF" w:rsidP="003E47DF">
            <w:pPr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Priorytet 12-</w:t>
            </w:r>
          </w:p>
          <w:p w14:paraId="59B05F4C" w14:textId="736AF5AB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Fundusze Europejskie na rzecz Bezpiecznego Pomorza Zachodniego</w:t>
            </w:r>
          </w:p>
        </w:tc>
        <w:tc>
          <w:tcPr>
            <w:tcW w:w="1464" w:type="dxa"/>
          </w:tcPr>
          <w:p w14:paraId="1F7A531D" w14:textId="5C754BF2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 xml:space="preserve">RSO3.3 Rozwój odpornej infrastruktury obronnej, przy priorytetowym traktowaniu infrastruktury podwójnego zastosowania, w tym celu wspierania mobilności wojskowej w Unii oraz zwiększenie </w:t>
            </w:r>
            <w:r w:rsidRPr="003E47DF">
              <w:rPr>
                <w:rFonts w:ascii="Myriad Pro" w:hAnsi="Myriad Pro" w:cstheme="minorHAnsi"/>
                <w:sz w:val="18"/>
                <w:szCs w:val="18"/>
              </w:rPr>
              <w:lastRenderedPageBreak/>
              <w:t>gotowości cywilnej.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E44CBD6" w14:textId="110DE952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lastRenderedPageBreak/>
              <w:t>Gmina Miasto Kołobrzeg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5DBCB1C6" w14:textId="1AEF6260" w:rsidR="003E47DF" w:rsidRPr="003E47DF" w:rsidRDefault="003E47DF" w:rsidP="003E47DF">
            <w:pPr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Tabela 4: Wymiar 1- zakres interwencji</w:t>
            </w:r>
          </w:p>
          <w:p w14:paraId="2AFCE19B" w14:textId="77777777" w:rsidR="003E47DF" w:rsidRPr="003E47DF" w:rsidRDefault="003E47DF" w:rsidP="003E47DF">
            <w:pPr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Kod 198 Infrastruktura obronna oraz budowa i modernizacja infrastruktury o podwójnym zastosowaniu, w tym mobilność wojskowa.</w:t>
            </w:r>
          </w:p>
          <w:p w14:paraId="4267C7A2" w14:textId="77777777" w:rsidR="003E47DF" w:rsidRPr="003E47DF" w:rsidRDefault="003E47DF" w:rsidP="003E47DF">
            <w:pPr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Kwota (w EUR) 40 000 000</w:t>
            </w:r>
          </w:p>
          <w:p w14:paraId="104CB9CB" w14:textId="6C9DC015" w:rsidR="003E47DF" w:rsidRPr="003E47DF" w:rsidRDefault="003E47DF" w:rsidP="003E47DF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 xml:space="preserve">Zwiększyć zaplanowana kwotę do 50 000 000 EUR, wydzielić osobne wsparcie dla budowy, przebudowy i remontu infrastruktury transportowej podwójnego zastosowania – </w:t>
            </w:r>
            <w:r w:rsidRPr="003E47DF">
              <w:rPr>
                <w:rFonts w:ascii="Myriad Pro" w:hAnsi="Myriad Pro" w:cstheme="minorHAnsi"/>
                <w:sz w:val="18"/>
                <w:szCs w:val="18"/>
              </w:rPr>
              <w:lastRenderedPageBreak/>
              <w:t>mostów, tuneli, lokalnych dróg dojazdowych.</w:t>
            </w:r>
          </w:p>
        </w:tc>
        <w:tc>
          <w:tcPr>
            <w:tcW w:w="3152" w:type="dxa"/>
          </w:tcPr>
          <w:p w14:paraId="5AB08BCD" w14:textId="7ADEE335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lastRenderedPageBreak/>
              <w:t>Infrastruktura transportowa podwójnego zastosowania (mosty, tunele, lokalne drogi dojazdowe) wymagają wysokich nakładów finansowych z uwagi  na wzmocnione parametry dla obsługi pojazdów wojskowych. W tej dziedzinie istnieją duże potrzeby samorządów województwa zachodniopomorskiego.</w:t>
            </w:r>
          </w:p>
        </w:tc>
        <w:tc>
          <w:tcPr>
            <w:tcW w:w="3015" w:type="dxa"/>
          </w:tcPr>
          <w:p w14:paraId="45103797" w14:textId="53BF5294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theme="minorHAnsi"/>
                <w:sz w:val="18"/>
                <w:szCs w:val="18"/>
              </w:rPr>
            </w:pPr>
            <w:r w:rsidRPr="003E47DF">
              <w:rPr>
                <w:rFonts w:ascii="Myriad Pro" w:hAnsi="Myriad Pro" w:cstheme="minorHAnsi"/>
                <w:sz w:val="18"/>
                <w:szCs w:val="18"/>
              </w:rPr>
              <w:t>Z uwagi na ograniczone możliwości finansowe  w ramach programu FEPZ (w związku z zaawansowanym stanem wdrażania FEPZ), dotychczasowa wartość środków przeznaczona na wskazany cel jest na tym etapie (przed formalnymi negocjacjami FEPZ z Komisją Europejską) maksymalna.</w:t>
            </w:r>
          </w:p>
          <w:p w14:paraId="57882B5B" w14:textId="77777777" w:rsidR="003E47DF" w:rsidRPr="003E47DF" w:rsidRDefault="003E47DF" w:rsidP="003E47DF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</w:tr>
      <w:tr w:rsidR="00E36050" w:rsidRPr="003E47DF" w14:paraId="094852EF" w14:textId="1DF42CAF" w:rsidTr="0000106D">
        <w:tc>
          <w:tcPr>
            <w:tcW w:w="0" w:type="auto"/>
            <w:shd w:val="clear" w:color="auto" w:fill="auto"/>
          </w:tcPr>
          <w:p w14:paraId="3F4391AC" w14:textId="77777777" w:rsidR="00E36050" w:rsidRPr="003E47DF" w:rsidRDefault="00E36050" w:rsidP="00727E09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1E384D40" w14:textId="66DA3E70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319-320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70F85AF3" w14:textId="5D9A3530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13</w:t>
            </w:r>
          </w:p>
        </w:tc>
        <w:tc>
          <w:tcPr>
            <w:tcW w:w="1464" w:type="dxa"/>
            <w:vAlign w:val="center"/>
          </w:tcPr>
          <w:p w14:paraId="6C9ABD46" w14:textId="7FF75EDB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ESO4.6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2C62028" w14:textId="4FFEF164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IK UP EFS+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05CC4606" w14:textId="027F70A9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631CA">
              <w:rPr>
                <w:rFonts w:ascii="Myriad Pro" w:hAnsi="Myriad Pro" w:cs="Arial"/>
                <w:sz w:val="18"/>
                <w:szCs w:val="18"/>
              </w:rPr>
              <w:t xml:space="preserve">Proszę o potwierdzenie, że na poziomie SZOP lub w ramach naborów zostaną wprowadzone zapisy, które umożliwią uniknięcie ryzyka powielania rozwiązań realizowanych na poziomie regionalnym z przedsięwzięciami wdrażanymi na poziomie krajowym, a także z działaniami Branżowych Centrów Umiejętności w branżach wskazanych przez IZ jako kluczowe dla przemysłu obronnego, </w:t>
            </w:r>
            <w:r>
              <w:rPr>
                <w:rFonts w:ascii="Myriad Pro" w:hAnsi="Myriad Pro" w:cs="Arial"/>
                <w:sz w:val="18"/>
                <w:szCs w:val="18"/>
              </w:rPr>
              <w:t>rozwiązań podwójnego zastosowania</w:t>
            </w:r>
            <w:r w:rsidRPr="009631CA">
              <w:rPr>
                <w:rFonts w:ascii="Myriad Pro" w:hAnsi="Myriad Pro" w:cs="Arial"/>
                <w:sz w:val="18"/>
                <w:szCs w:val="18"/>
              </w:rPr>
              <w:t xml:space="preserve"> oraz </w:t>
            </w:r>
            <w:proofErr w:type="spellStart"/>
            <w:r w:rsidRPr="009631CA">
              <w:rPr>
                <w:rFonts w:ascii="Myriad Pro" w:hAnsi="Myriad Pro" w:cs="Arial"/>
                <w:sz w:val="18"/>
                <w:szCs w:val="18"/>
              </w:rPr>
              <w:t>cyberbezpieczeństwa</w:t>
            </w:r>
            <w:proofErr w:type="spellEnd"/>
            <w:r w:rsidRPr="009631CA">
              <w:rPr>
                <w:rFonts w:ascii="Myriad Pro" w:hAnsi="Myriad Pro" w:cs="Arial"/>
                <w:sz w:val="18"/>
                <w:szCs w:val="18"/>
              </w:rPr>
              <w:t>.</w:t>
            </w:r>
          </w:p>
        </w:tc>
        <w:tc>
          <w:tcPr>
            <w:tcW w:w="3152" w:type="dxa"/>
            <w:vAlign w:val="center"/>
          </w:tcPr>
          <w:p w14:paraId="337014B5" w14:textId="6E11A303" w:rsidR="00E36050" w:rsidRPr="003E47DF" w:rsidRDefault="00E36050" w:rsidP="00E36050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Zapewnienie spójności i braku ryzyka podwójnego finansowania działań realizowanych na poziomie regionalnym i krajowym.</w:t>
            </w:r>
          </w:p>
        </w:tc>
        <w:tc>
          <w:tcPr>
            <w:tcW w:w="3015" w:type="dxa"/>
          </w:tcPr>
          <w:p w14:paraId="3B62FB42" w14:textId="35A79CF5" w:rsidR="00E36050" w:rsidRPr="003E47DF" w:rsidRDefault="00E36050" w:rsidP="00E36050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Tak, na poziomie SZOP lub naborów, zostaną wprowadzone zapisy dotyczące </w:t>
            </w:r>
            <w:r w:rsidRPr="009631CA">
              <w:rPr>
                <w:rFonts w:ascii="Myriad Pro" w:hAnsi="Myriad Pro" w:cs="Arial"/>
                <w:sz w:val="18"/>
                <w:szCs w:val="18"/>
              </w:rPr>
              <w:t>uniknięci</w:t>
            </w:r>
            <w:r>
              <w:rPr>
                <w:rFonts w:ascii="Myriad Pro" w:hAnsi="Myriad Pro" w:cs="Arial"/>
                <w:sz w:val="18"/>
                <w:szCs w:val="18"/>
              </w:rPr>
              <w:t>a</w:t>
            </w:r>
            <w:r w:rsidRPr="009631CA">
              <w:rPr>
                <w:rFonts w:ascii="Myriad Pro" w:hAnsi="Myriad Pro" w:cs="Arial"/>
                <w:sz w:val="18"/>
                <w:szCs w:val="18"/>
              </w:rPr>
              <w:t xml:space="preserve"> ryzyka </w:t>
            </w:r>
            <w:r>
              <w:rPr>
                <w:rFonts w:ascii="Myriad Pro" w:hAnsi="Myriad Pro" w:cs="Arial"/>
                <w:sz w:val="18"/>
                <w:szCs w:val="18"/>
              </w:rPr>
              <w:t>podwójnego finansowania działań realizowanych na poziomie krajowym i regionalnym w przedmiotowym obszarze.</w:t>
            </w:r>
          </w:p>
        </w:tc>
      </w:tr>
      <w:tr w:rsidR="00E36050" w:rsidRPr="003E47DF" w14:paraId="1A5A85D4" w14:textId="77777777" w:rsidTr="0000106D">
        <w:tc>
          <w:tcPr>
            <w:tcW w:w="0" w:type="auto"/>
            <w:shd w:val="clear" w:color="auto" w:fill="auto"/>
          </w:tcPr>
          <w:p w14:paraId="5C5975F7" w14:textId="77777777" w:rsidR="00E36050" w:rsidRPr="003E47DF" w:rsidRDefault="00E36050" w:rsidP="00E36050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6F0F5E0B" w14:textId="7A3D3EF0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322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3B97B99E" w14:textId="1AA47886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13</w:t>
            </w:r>
          </w:p>
        </w:tc>
        <w:tc>
          <w:tcPr>
            <w:tcW w:w="1464" w:type="dxa"/>
            <w:vAlign w:val="center"/>
          </w:tcPr>
          <w:p w14:paraId="46B8B259" w14:textId="32B05F8F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ESO4.6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69ED2E7" w14:textId="334EB13D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IK UP EFS+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060DC834" w14:textId="6CF24527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Wartość bazowa wskaźnika „</w:t>
            </w:r>
            <w:r w:rsidRPr="009631CA">
              <w:rPr>
                <w:rFonts w:ascii="Myriad Pro" w:hAnsi="Myriad Pro" w:cs="Arial"/>
                <w:sz w:val="18"/>
                <w:szCs w:val="18"/>
              </w:rPr>
              <w:t>Liczba uczniów, którzy nabyli kwalifikacje po opuszczeniu programu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” wynosząca 0,85 jest nieprawidłowa, ponieważ jednostką dla wskaźnika są osoby. </w:t>
            </w:r>
          </w:p>
        </w:tc>
        <w:tc>
          <w:tcPr>
            <w:tcW w:w="3152" w:type="dxa"/>
            <w:vAlign w:val="center"/>
          </w:tcPr>
          <w:p w14:paraId="59C63606" w14:textId="2553DAC3" w:rsidR="00E36050" w:rsidRPr="003E47DF" w:rsidRDefault="00E36050" w:rsidP="00E36050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Poprawienie pomyłki. </w:t>
            </w:r>
          </w:p>
        </w:tc>
        <w:tc>
          <w:tcPr>
            <w:tcW w:w="3015" w:type="dxa"/>
          </w:tcPr>
          <w:p w14:paraId="24137ACB" w14:textId="1CFC2C68" w:rsidR="00E36050" w:rsidRPr="003E47DF" w:rsidRDefault="00E36050" w:rsidP="00E36050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Dla wskaźnika rezultatu wartość bazowa lub odniesienia stanowi punkt wyjścia/odniesienia dla wartości wskaźnika. Zastosowane podejście jest analogiczne jak dla Priorytetu 6. </w:t>
            </w:r>
          </w:p>
        </w:tc>
      </w:tr>
      <w:tr w:rsidR="00E36050" w:rsidRPr="003E47DF" w14:paraId="32D6DD96" w14:textId="77777777" w:rsidTr="0000106D">
        <w:tc>
          <w:tcPr>
            <w:tcW w:w="0" w:type="auto"/>
            <w:shd w:val="clear" w:color="auto" w:fill="auto"/>
          </w:tcPr>
          <w:p w14:paraId="3DD11C3F" w14:textId="77777777" w:rsidR="00E36050" w:rsidRPr="003E47DF" w:rsidRDefault="00E36050" w:rsidP="00E36050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1A3572E8" w14:textId="114042CA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325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0F85F5D7" w14:textId="694EEAEA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13</w:t>
            </w:r>
          </w:p>
        </w:tc>
        <w:tc>
          <w:tcPr>
            <w:tcW w:w="1464" w:type="dxa"/>
            <w:vAlign w:val="center"/>
          </w:tcPr>
          <w:p w14:paraId="2134FE7E" w14:textId="1397014E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ESO4.7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913E2E5" w14:textId="2319CF33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IK UP EFS+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5AF42ABB" w14:textId="302EA468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Proszę o uwzględnienie w programie informacji, że zaplanowane działania będą realizowane poza BUR i PSF.</w:t>
            </w:r>
          </w:p>
        </w:tc>
        <w:tc>
          <w:tcPr>
            <w:tcW w:w="3152" w:type="dxa"/>
            <w:vAlign w:val="center"/>
          </w:tcPr>
          <w:p w14:paraId="641822F8" w14:textId="0865EB33" w:rsidR="00E36050" w:rsidRPr="003E47DF" w:rsidRDefault="00E36050" w:rsidP="00E36050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Doprecyzowanie zapisów programu, tak aby uniknąć wątpliwości na etapie wdrażania. Zgodnie z UP, działania w celu g) realizowane są w systemie popytowym z wykorzystaniem BUR, z wyjątkiem kompetencji podstawowych i LOWE. Jeśli wsparcie w nowym priorytecie również ma być realizowane poza BUR, to należy zawrzeć taką informację w programie. </w:t>
            </w:r>
          </w:p>
        </w:tc>
        <w:tc>
          <w:tcPr>
            <w:tcW w:w="3015" w:type="dxa"/>
          </w:tcPr>
          <w:p w14:paraId="0D027889" w14:textId="48FCA698" w:rsidR="00E36050" w:rsidRPr="003E47DF" w:rsidRDefault="00E36050" w:rsidP="00E36050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Uwaga uwzględniona, dodano zapis.</w:t>
            </w:r>
          </w:p>
        </w:tc>
      </w:tr>
      <w:tr w:rsidR="00E36050" w:rsidRPr="003E47DF" w14:paraId="46726DF4" w14:textId="77777777" w:rsidTr="0000106D">
        <w:tc>
          <w:tcPr>
            <w:tcW w:w="0" w:type="auto"/>
            <w:shd w:val="clear" w:color="auto" w:fill="auto"/>
          </w:tcPr>
          <w:p w14:paraId="37A1976E" w14:textId="77777777" w:rsidR="00E36050" w:rsidRPr="003E47DF" w:rsidRDefault="00E36050" w:rsidP="00E36050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4D3B2A6E" w14:textId="1F8FEF5C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326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71D7A522" w14:textId="6FDE639A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13</w:t>
            </w:r>
          </w:p>
        </w:tc>
        <w:tc>
          <w:tcPr>
            <w:tcW w:w="1464" w:type="dxa"/>
            <w:vAlign w:val="center"/>
          </w:tcPr>
          <w:p w14:paraId="78E70E1F" w14:textId="419FFA37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ESO4.7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315B65E" w14:textId="314EDFC8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IK UP EFS+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03021EC7" w14:textId="39EBC04B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2859D7">
              <w:rPr>
                <w:rFonts w:ascii="Myriad Pro" w:hAnsi="Myriad Pro" w:cs="Arial"/>
                <w:sz w:val="18"/>
                <w:szCs w:val="18"/>
              </w:rPr>
              <w:t xml:space="preserve">Definicja wskaźnika „Liczba osób dorosłych objętych wsparciem w zakresie umiejętności lub kompetencji podstawowych, realizowanym poza Bazą Usług Rozwojowych” wskazuje, że </w:t>
            </w:r>
            <w:r w:rsidRPr="002859D7">
              <w:rPr>
                <w:rFonts w:ascii="Myriad Pro" w:hAnsi="Myriad Pro" w:cs="Arial"/>
                <w:sz w:val="18"/>
                <w:szCs w:val="18"/>
              </w:rPr>
              <w:lastRenderedPageBreak/>
              <w:t xml:space="preserve">odnosi się on wyłącznie do działań umożliwiających wdrożenie Zalecenia Rady dotyczącego ścieżek rozwoju umiejętności. W związku z tym wskaźnik ten nie jest adekwatny do zaplanowanych </w:t>
            </w:r>
            <w:r>
              <w:rPr>
                <w:rFonts w:ascii="Myriad Pro" w:hAnsi="Myriad Pro" w:cs="Arial"/>
                <w:sz w:val="18"/>
                <w:szCs w:val="18"/>
              </w:rPr>
              <w:t>w priorytecie przedsięwzięć</w:t>
            </w:r>
            <w:r w:rsidRPr="002859D7">
              <w:rPr>
                <w:rFonts w:ascii="Myriad Pro" w:hAnsi="Myriad Pro" w:cs="Arial"/>
                <w:sz w:val="18"/>
                <w:szCs w:val="18"/>
              </w:rPr>
              <w:t xml:space="preserve">. Sugerujemy zastosowanie wskaźnika przedstawionego w zaktualizowanej LWK, który obejmuje działania w ramach priorytetu dotyczącego rozwoju umiejętności w obszarze gotowości cywilnej, przemysłu obronnego oraz </w:t>
            </w:r>
            <w:proofErr w:type="spellStart"/>
            <w:r w:rsidRPr="002859D7">
              <w:rPr>
                <w:rFonts w:ascii="Myriad Pro" w:hAnsi="Myriad Pro" w:cs="Arial"/>
                <w:sz w:val="18"/>
                <w:szCs w:val="18"/>
              </w:rPr>
              <w:t>cyberbezpieczeńst</w:t>
            </w:r>
            <w:r>
              <w:rPr>
                <w:rFonts w:ascii="Myriad Pro" w:hAnsi="Myriad Pro" w:cs="Arial"/>
                <w:sz w:val="18"/>
                <w:szCs w:val="18"/>
              </w:rPr>
              <w:t>a</w:t>
            </w:r>
            <w:proofErr w:type="spellEnd"/>
            <w:r>
              <w:rPr>
                <w:rFonts w:ascii="Myriad Pro" w:hAnsi="Myriad Pro" w:cs="Arial"/>
                <w:sz w:val="18"/>
                <w:szCs w:val="18"/>
              </w:rPr>
              <w:t>.</w:t>
            </w:r>
          </w:p>
        </w:tc>
        <w:tc>
          <w:tcPr>
            <w:tcW w:w="3152" w:type="dxa"/>
            <w:vAlign w:val="center"/>
          </w:tcPr>
          <w:p w14:paraId="0363579E" w14:textId="243CBF69" w:rsidR="00E36050" w:rsidRPr="003E47DF" w:rsidRDefault="00E36050" w:rsidP="00E36050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lastRenderedPageBreak/>
              <w:t>Zastosowanie prawidłowego wskaźnika.</w:t>
            </w:r>
          </w:p>
        </w:tc>
        <w:tc>
          <w:tcPr>
            <w:tcW w:w="3015" w:type="dxa"/>
          </w:tcPr>
          <w:p w14:paraId="1524F908" w14:textId="4987E188" w:rsidR="00E36050" w:rsidRPr="003E47DF" w:rsidRDefault="00E36050" w:rsidP="00E36050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Zgodnie z pismem Ministerstwa Funduszy i Polityki Regionalnej z 20 listopada br. wprowadzono do programu FEPZ dla celu </w:t>
            </w:r>
            <w:r>
              <w:rPr>
                <w:rFonts w:ascii="Myriad Pro" w:hAnsi="Myriad Pro" w:cs="Arial"/>
                <w:sz w:val="18"/>
                <w:szCs w:val="18"/>
              </w:rPr>
              <w:lastRenderedPageBreak/>
              <w:t xml:space="preserve">szczegółowego 4.7 autokorektę wskaźników produktu i rezultatu. </w:t>
            </w:r>
          </w:p>
        </w:tc>
      </w:tr>
      <w:tr w:rsidR="00E36050" w:rsidRPr="003E47DF" w14:paraId="3EB7BADE" w14:textId="77777777" w:rsidTr="0000106D">
        <w:tc>
          <w:tcPr>
            <w:tcW w:w="0" w:type="auto"/>
            <w:shd w:val="clear" w:color="auto" w:fill="auto"/>
          </w:tcPr>
          <w:p w14:paraId="6B1B7E1E" w14:textId="77777777" w:rsidR="00E36050" w:rsidRPr="003E47DF" w:rsidRDefault="00E36050" w:rsidP="00E36050">
            <w:pPr>
              <w:numPr>
                <w:ilvl w:val="0"/>
                <w:numId w:val="1"/>
              </w:numPr>
              <w:spacing w:after="0"/>
              <w:ind w:left="142" w:hanging="14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18C23345" w14:textId="7CE3F5B2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327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D35A6F8" w14:textId="50559EF4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13</w:t>
            </w:r>
          </w:p>
        </w:tc>
        <w:tc>
          <w:tcPr>
            <w:tcW w:w="1464" w:type="dxa"/>
            <w:vAlign w:val="center"/>
          </w:tcPr>
          <w:p w14:paraId="3E536E2E" w14:textId="7FBFE90D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ESO4.6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1B6BEBE" w14:textId="005CA5F1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IK UP EFS+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7AC0454E" w14:textId="7D56B8BB" w:rsidR="00E36050" w:rsidRPr="003E47DF" w:rsidRDefault="00E36050" w:rsidP="00E36050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Wartość bazowa wskaźnika „</w:t>
            </w:r>
            <w:r w:rsidRPr="002859D7">
              <w:rPr>
                <w:rFonts w:ascii="Myriad Pro" w:hAnsi="Myriad Pro" w:cs="Arial"/>
                <w:sz w:val="18"/>
                <w:szCs w:val="18"/>
              </w:rPr>
              <w:t>Uczestnicy uzyskujący kwalifikacje po zakończeniu udziału w programie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” wynosząca 0,85 jest nieprawidłowa, ponieważ jednostką dla wskaźnika są osoby. </w:t>
            </w:r>
          </w:p>
        </w:tc>
        <w:tc>
          <w:tcPr>
            <w:tcW w:w="3152" w:type="dxa"/>
            <w:vAlign w:val="center"/>
          </w:tcPr>
          <w:p w14:paraId="3D2FA9B6" w14:textId="02F9E842" w:rsidR="00E36050" w:rsidRPr="003E47DF" w:rsidRDefault="00E36050" w:rsidP="00E36050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Poprawienie pomyłki. </w:t>
            </w:r>
          </w:p>
        </w:tc>
        <w:tc>
          <w:tcPr>
            <w:tcW w:w="3015" w:type="dxa"/>
          </w:tcPr>
          <w:p w14:paraId="688E8601" w14:textId="484FD350" w:rsidR="00E36050" w:rsidRPr="003E47DF" w:rsidRDefault="00E36050" w:rsidP="00E36050">
            <w:pPr>
              <w:spacing w:line="288" w:lineRule="auto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Dla wskaźnika rezultatu wartość bazowa lub odniesienia stanowi punkt wyjścia/odniesienia dla wartości wskaźnika. Zastosowane podejście jest analogiczne jak dla Priorytetu 6.</w:t>
            </w:r>
          </w:p>
        </w:tc>
      </w:tr>
    </w:tbl>
    <w:p w14:paraId="3C459F09" w14:textId="77777777" w:rsidR="00C860F2" w:rsidRPr="003E47DF" w:rsidRDefault="00C860F2" w:rsidP="003E47DF">
      <w:pPr>
        <w:jc w:val="center"/>
        <w:rPr>
          <w:rFonts w:ascii="Myriad Pro" w:hAnsi="Myriad Pro"/>
          <w:sz w:val="18"/>
          <w:szCs w:val="18"/>
        </w:rPr>
      </w:pPr>
    </w:p>
    <w:p w14:paraId="55F2ED91" w14:textId="77777777" w:rsidR="00C33B9B" w:rsidRPr="003E47DF" w:rsidRDefault="00C33B9B" w:rsidP="003E47DF">
      <w:pPr>
        <w:jc w:val="center"/>
        <w:rPr>
          <w:rFonts w:ascii="Myriad Pro" w:hAnsi="Myriad Pro"/>
          <w:sz w:val="18"/>
          <w:szCs w:val="18"/>
        </w:rPr>
      </w:pPr>
    </w:p>
    <w:sectPr w:rsidR="00C33B9B" w:rsidRPr="003E47DF" w:rsidSect="009E25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20CFA"/>
    <w:multiLevelType w:val="hybridMultilevel"/>
    <w:tmpl w:val="734C90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14F7E"/>
    <w:multiLevelType w:val="hybridMultilevel"/>
    <w:tmpl w:val="BB92434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D4468CA"/>
    <w:multiLevelType w:val="hybridMultilevel"/>
    <w:tmpl w:val="0D108486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028169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0F2"/>
    <w:rsid w:val="000A74AF"/>
    <w:rsid w:val="000C5895"/>
    <w:rsid w:val="000E6160"/>
    <w:rsid w:val="00136975"/>
    <w:rsid w:val="001500FE"/>
    <w:rsid w:val="00160375"/>
    <w:rsid w:val="002306DF"/>
    <w:rsid w:val="00277D4E"/>
    <w:rsid w:val="00373564"/>
    <w:rsid w:val="00396EE8"/>
    <w:rsid w:val="003970AC"/>
    <w:rsid w:val="003D2245"/>
    <w:rsid w:val="003E1BFF"/>
    <w:rsid w:val="003E47DF"/>
    <w:rsid w:val="003E7A09"/>
    <w:rsid w:val="004C24AD"/>
    <w:rsid w:val="00517A3B"/>
    <w:rsid w:val="005671C3"/>
    <w:rsid w:val="00585088"/>
    <w:rsid w:val="00650927"/>
    <w:rsid w:val="00664415"/>
    <w:rsid w:val="00677EED"/>
    <w:rsid w:val="006C5AF2"/>
    <w:rsid w:val="00727E09"/>
    <w:rsid w:val="008122A2"/>
    <w:rsid w:val="00820308"/>
    <w:rsid w:val="008A3615"/>
    <w:rsid w:val="00913548"/>
    <w:rsid w:val="00954797"/>
    <w:rsid w:val="00A21DA5"/>
    <w:rsid w:val="00A86145"/>
    <w:rsid w:val="00A96A87"/>
    <w:rsid w:val="00B83549"/>
    <w:rsid w:val="00BA3457"/>
    <w:rsid w:val="00C05CF9"/>
    <w:rsid w:val="00C33B9B"/>
    <w:rsid w:val="00C860F2"/>
    <w:rsid w:val="00CA5857"/>
    <w:rsid w:val="00CD682E"/>
    <w:rsid w:val="00D27061"/>
    <w:rsid w:val="00D40ED2"/>
    <w:rsid w:val="00DC0A63"/>
    <w:rsid w:val="00DE3F15"/>
    <w:rsid w:val="00E36050"/>
    <w:rsid w:val="00E73D90"/>
    <w:rsid w:val="00EA23FE"/>
    <w:rsid w:val="00EC4842"/>
    <w:rsid w:val="00F320DC"/>
    <w:rsid w:val="00F40036"/>
    <w:rsid w:val="00F412C6"/>
    <w:rsid w:val="00FE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A3309"/>
  <w15:docId w15:val="{F61A35A1-8B8F-45E5-A9F9-DE83B1A8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60F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21DA5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A21DA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2449</Words>
  <Characters>14700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akojder</dc:creator>
  <cp:lastModifiedBy>Aleksandra Tymecka</cp:lastModifiedBy>
  <cp:revision>2</cp:revision>
  <dcterms:created xsi:type="dcterms:W3CDTF">2025-12-11T09:41:00Z</dcterms:created>
  <dcterms:modified xsi:type="dcterms:W3CDTF">2025-12-11T09:41:00Z</dcterms:modified>
</cp:coreProperties>
</file>